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2025/157 vom 14. Januar 2026</w:t>
      </w:r>
    </w:p>
    <w:p>
      <w:r>
        <w:t>Sg Verwaltungsgericht, 2026-01-14, DE</w:t>
      </w:r>
    </w:p>
    <w:p>
      <w:r>
        <w:rPr>
          <w:b/>
        </w:rPr>
        <w:t xml:space="preserve">Quelle: </w:t>
      </w:r>
      <w:r>
        <w:t>https://mcp.opencaselaw.ch/entscheid/sg_publikationen_B 2025_157</w:t>
      </w:r>
    </w:p>
    <w:p>
      <w:r>
        <w:t>FR: SG_VERWALTUNGSGERICHT B 2025/157 du 14 janvier 2026</w:t>
      </w:r>
    </w:p>
    <w:p>
      <w:r>
        <w:t>IT: SG_VERWALTUNGSGERICHT B 2025/157 del 14 gennaio 2026</w:t>
      </w:r>
    </w:p>
    <w:p>
      <w:pPr>
        <w:pStyle w:val="Heading2"/>
      </w:pPr>
      <w:r>
        <w:t>Regeste</w:t>
      </w:r>
    </w:p>
    <w:p>
      <w:r>
        <w:t>Ausländerrecht, Nichtverlängerung der Aufenthaltsbewilligung, Art. 50 Abs. 1 lit. a und b AIG, Art. 58a AIG Der Beschwerdeführer erhielt im Rahmen des Familiennachzugs zu seiner Ehefrau eine Aufenthaltsbewilligung. Nach Auflösung der Ehe besteht der Anspruch des Ehegatten auf Erteilung und Verlängerung der Aufenthaltsbewilligung weiter, wenn die Ehegemeinschaft mindestens drei Jahre bestanden hat und die Integrationskriterien nach Art. 58a AIG erfüllt sind, oder wenn wichtige persönliche Gründe vorliegen (Art. 50 Abs. 1 lit. a und b AIG). Die Ehegemeinschaft zwischen dem Beschwerdeführer und seiner Ehefrau hat zwar über drei Jahre bestanden, aufgrund der Vielzahl an Strafbefehlen und seiner erheblichen Verschuldung ist eine erfolgreiche Integration des Beschwerdeführers allerdings zu verneinen. Auf wichtige persönliche Gründe, die einen weiteren Aufenthalt in der Schweiz erforderlich machen würden, kann er sich ebenfalls nicht berufen, denn zu seinen zwei minderjährigen Kindern unterhält er weder eine besonders enge affektive noch eine wirtschaftliche Beziehung. Ein Aufenthaltsanspruch besteht auch nicht gestützt auf eine andere landes- oder völkerrechtliche Bestimmung. (Verwaltungsgericht, B 2025/157)</w:t>
      </w:r>
    </w:p>
    <w:p>
      <w:pPr>
        <w:pStyle w:val="Heading2"/>
      </w:pPr>
      <w:r>
        <w:t>Erwägungen</w:t>
      </w:r>
    </w:p>
    <w:p>
      <w:r>
        <w:rPr>
          <w:b/>
        </w:rPr>
        <w:t>E. 4</w:t>
      </w:r>
    </w:p>
    <w:p>
      <w:r>
        <w:t>Zu prüfen ist weiter, ob wichtige persönliche Gründe einen weiteren Aufenthalt in der Schweiz erforderlich machen (Art. 50 Abs. 1 lit. b AIG in der seit 1. Januar 2025 gültigen, hier nicht relevant geänderten Fassung).</w:t>
      </w:r>
    </w:p>
    <w:p>
      <w:r>
        <w:rPr>
          <w:b/>
        </w:rPr>
        <w:t>E. 4.1</w:t>
      </w:r>
    </w:p>
    <w:p>
      <w:r>
        <w:t>Bei dieser Prüfung wird aufgrund der gesamten Umstände des Einzelfalls eine erhebliche Intensität der Konsequenzen für das Privat- und Familienleben vorausgesetzt (vgl. nicht abschliessende Aufzählung in Art. 50 Abs. 2 AIG; GEISER/BLOCHER/BUSSLINGER, in: Uebersax/Rudin/Hugi Yar/Geiser/Vetterli [Hrsg.], Handbuch Ausländerrecht, 3. Aufl. 2022, Ziff. 23.316). Das Andauern der elterlichen Beziehung zum hier gefestigt anwesenheitsbe- rechtigten Kind kann einen wichtigen Grund zum Verbleib im Land bilden (sog. umgekehrter Familiennachzug; vgl. M. SPESCHA, in: Spescha/Bolzli/de Weck/Hruschka/Priuli/Zünd [Hrsg.], Migrationsrecht, 6. Aufl. 2026, N 20 zu Art. 50 AIG). Bei der Beurteilung, ob eine schutzwürdige Eltern-Kind-Beziehung besteht, ist auf die Rechtsprechung zu Art. 8 der Konvention zum Schutze der Menschenrechte und Grundfreiheiten (SR 0.101, EMRK) bzw. Art. 13 Abs. 1 der Bundesverfassung der Schweizerischen Eidgenossenschaft (SR 101, BV) abzustellen, können doch die wichtigen persönlichen Gründe im Sinne von Art. 50 Abs. 1 lit. b AIG nicht einschränkender verstanden werden als ein aus diesen Garantien fliessender Anspruch auf Erteilung oder Verlängerung der Aufenthaltsbewilli- gung (BGer 2C_221/2019 vom 25. Juli 2019 E. 3.1 m.w.H.). Der nicht sorge- bzw. hauptsächlich betreuungsberechtigte ausländische Elternteil kann die familiäre Beziehung mit seinem Kind in der Regel nur in beschränktem Rahmen leben, nämlich durch die Ausübung des ihm eingeräumten Rechts auf angemessenen persönli- chen Verkehr und den damit verbundenen Betreuungsanteilen. Hierfür ist nicht unbedingt erforderlich, dass er sich dauerhaft im selben Land aufhält wie das Kind und dort über ein Anwesenheitsrecht verfügt. Es genügt je nach den Umständen, dass der Kontakt zum Kind im Rahmen von Kurzaufenthalten, Ferienbesuchen oder über die modernen Kommunika- tionsmittel vom Ausland her wahrgenommen werden kann. Gemäss der ständigen Recht- sprechung des Bundesgerichts kann ein weitergehender Anspruch nur dann in Betracht fallen, wenn in wirtschaftlicher und affektiver Hinsicht eine besonders enge Beziehung zum Kind besteht, diese Beziehung wegen der Distanz zum Heimatland des Ausländers prak- tisch nicht aufrechterhalten werden könnte und das bisherige Verhalten des Ausländers in der Schweiz zu keinerlei Klagen Anlass gegeben hat. Diese kumulativen Anforderungen sind einer gesamthaften Interessenabwägung zu unterziehen, wobei dem grundlegenden Bedürfnis des Kindes Rechnung zu tragen ist, in möglichst engem Kontakt mit beiden El- ternteilen aufwachsen zu können (BGE 144 I 91 E. 5.2, 139 I 315 E. 2.2, je mit Hinweisen). Das Kindeswohl ist in der Interessenabwägung ein – wesentliches – Element unter anderen B 2025/157 8/11</w:t>
      </w:r>
    </w:p>
    <w:p>
      <w:r>
        <w:t>(wirtschaftliches Wohl des Landes, Aufrechterhaltung der Ordnung, Verhütung von Strafta- ten, Schutz der Gesundheit oder Moral bzw. der Rechte und Freiheiten anderer); es ist somit nicht allein ausschlaggebend (BGer 2C_904/2018 vom 24. April 2019 E. 2.4).</w:t>
      </w:r>
    </w:p>
    <w:p>
      <w:r>
        <w:rPr>
          <w:b/>
        </w:rPr>
        <w:t>E. 4.2</w:t>
      </w:r>
    </w:p>
    <w:p>
      <w:r>
        <w:t>Der Beschwerdeführer bringt zusammengefasst vor (act. 1 und 21), seit der Trennung be- mühe er sich, eine starke und wertvolle Beziehung zu seinen Kindern aufrechtzuerhalten. Bei seinem Sohn E.__ sei Autismus diagnostiziert worden, und dessen gesunde Entwick- lung erfordere seine aktive und ständige Präsenz. Er sei stets präsent gewesen, wenn seine Kinder medizinische Bedürfnisse gehabt hätten: Er habe seinen Sohn während einer Operation begleitet, habe sich finanziell an der Zahnbehandlung seiner Tochter D.__ be- teiligt und unterstütze sie in allen wichtigen Angelegenheiten. Seit Dezember 2024 sehe er seine Kinder alle zwei Wochen samstags unter Begleitung, bemühe sich jedoch, auch aus- serhalb dieser Zeiten präsent zu sein. Der wichtigste Grund für seinen Antrag auf Verlän- gerung der Aufenthaltsbewilligung seien seine Kinder. Sein Leben sei eng mit ihnen ver- bunden und er wolle weiterhin ein präsenter Vater sein. Ein Wegzug aus der Schweiz wäre für ihn und seine Kinder ein enormer emotionaler und lebensverändernder Einschnitt.</w:t>
      </w:r>
    </w:p>
    <w:p>
      <w:r>
        <w:rPr>
          <w:b/>
        </w:rPr>
        <w:t>E. 4.3</w:t>
      </w:r>
    </w:p>
    <w:p>
      <w:r>
        <w:t>Nach einer von der Ehefrau geltend gemachten längeren Phase häuslicher Gewalt durch den Beschwerdeführer suchte sie Ende April 2023 Schutz und Unterkunft im Frauenhaus, wo sie mit den beiden damals vier- und knapp zweijährigen Kindern bis zum 3. August 2023 blieb. Sie berichtete dort unter anderem von mehrfachen Gewalterfahrungen durch den Ehemann, die auch die Kinder miterlebt hätten. Seitens des Frauenhauses wurde die Ehe- frau als sehr empathische, herzliche und fürsorgliche Mutter beschrieben, beide Kinder wiesen – im Bericht näher beschriebene – deutliche Verhaltensauffälligkeiten auf, das äl- tere Kind nur zu Beginn (Bericht vom 4. August 2023, MA BF, S. 434 ff.). Das Kreisgericht F.__ erwähnte im Eheschutzentscheid einen Verdacht auf Drogenkonsum des Beschwer- deführers (vermutungsweise Kokain) sowie – vor Eintritt von Ehefrau und Kindern ins Frau- enhaus – unterbliebener Beaufsichtigung der Kinder durch den Vater (E. III/3 des Ent- scheids vom 8. August 2023, MA BF, S. 327). Unter Bezugnahme auf ein konkretes Ereig- nis schloss das Gericht überdies die Gefahr einer allfälligen Kindsentführung nicht aus (E. IV/3). Dem Ehemann wurde vom Kreisgericht zweimal monatlich ein begleitetes Be- suchsrecht der Kinder während mindestens zwei und höchstens vier Stunden gewährt. Er wurde verpflichtet, an den Unterhalt monatlich CHF 900 pro Kind zuzüglich allfälliger Kin- derzulagen zu bezahlen (MA BF, S. 323 f.). Seit dem Eheschutzentscheid vom 8. August 2023 fanden regelmässige Besuche statt, regelmässige Wochenendbesuche mit Über- nachten konnten aber nicht etabliert werden. Gemäss dem Bericht der Berufsbeiständin vom 18. Februar 2025 (act. 18/18) hat der Vater eine gute Bindung zur Tochter, die B 2025/157 9/11</w:t>
      </w:r>
    </w:p>
    <w:p>
      <w:r>
        <w:t>Beziehung zu seinem Sohn sei allerdings mit Schwierigkeiten verbunden. Der Vater halte sich oft nicht an Absprachen und habe Mühe, sich mit der Entwicklungsstörung seines Soh- nes zurechtzufinden. Aufgrund dieses Berichts bestehen Zweifel, ob zwischen dem Be- schwerdeführer und seinen beiden Kindern eine besonders enge affektive Beziehung vor- liegt. In wirtschaftlicher Hinsicht ist eine solch enge Beziehung jedenfalls nicht ausgewie- sen, beteiligt sich der Beschwerdeführer doch weder an den regulären Unterhaltskosten noch an zusätzlichen Kosten; seinen Unterhaltspflichten kommt er nicht nach (act. 18/18). Er bringt zwar vor, sich finanziell an der Zahnbehandlung seiner Tochter beteiligt zu haben, reicht indes keine Belege ein, welche seine Ausführungen stützen. Selbst ein entsprechen- der Nachweis vermöchte aber die erforderliche Qualität der wirtschaftlichen Beziehung of- fenkundig nicht zu belegen. Schliesslich erfüllt der Beschwerdeführer auch die Anforderung des klaglosen Verhaltens in der Schweiz nicht (vgl. E. 3.3 hiervor).</w:t>
      </w:r>
    </w:p>
    <w:p>
      <w:r>
        <w:rPr>
          <w:b/>
        </w:rPr>
        <w:t>E. 4.4</w:t>
      </w:r>
    </w:p>
    <w:p>
      <w:r>
        <w:t>Die privaten Interessen des Beschwerdeführers am Verbleib in der Schweiz vermögen die gewichtigen öffentlichen Interessen an der Nichtverlängerung der Aufenthaltsbewilligung nicht zu überwiegen. Wie die Vorinstanz zu Recht ausführte (vgl. E. 4 des angefochtenen Entscheids), ist dem Beschwerdeführer eine Rückkehr nach Serbien zumutbar, hat er dort doch seine Kinder- und Jugendzeit verbracht sowie seine Ausbildung absolviert. Er kann den Kontakt zu seinen Kindern über die modernen Kommunikationsmittel vom Ausland her sowie im Rahmen von Ferienbesuchen aufrechterhalten. Der Beschwerdeführer hat somit keinen Anspruch auf Verlängerung der Aufenthaltsbewilligung. Im Übrigen hielt die Vor- instanz zu Recht fest, dass sich der Beschwerdeführer auch aus Art. 8 EMRK und Art. 13 BV keinen Anspruch ableiten kann (vgl. E. 3 des angefochtenen Entscheids).</w:t>
      </w:r>
    </w:p>
    <w:p>
      <w:r>
        <w:rPr>
          <w:b/>
        </w:rPr>
        <w:t>E. 5</w:t>
      </w:r>
    </w:p>
    <w:p>
      <w:r>
        <w:t>Die Beschwerde erweist sich damit als unbegründet. Sie ist abzuweisen.</w:t>
      </w:r>
    </w:p>
    <w:p>
      <w:r>
        <w:rPr>
          <w:b/>
        </w:rPr>
        <w:t>E. 6</w:t>
      </w:r>
    </w:p>
    <w:p>
      <w:r>
        <w:t>Umständehalber ist auf die Erhebung von Gerichtskosten ausnahmsweise zu verzichten (Art. 97 VRP). Das Gesuch um unentgeltliche Rechtspflege (Befreiung von den Gerichts- kosten) wird damit gegenstandslos. Der unterliegende und ohnehin nicht vertretene Be- schwerdeführer hat keinen Anspruch auf Entschädigung ausseramtlicher Kosten (Art. 98 Abs. 1 und 98bis VRP). B 2025/157 10/11</w:t>
      </w:r>
    </w:p>
    <w:p>
      <w:r>
        <w:t>Demnach erkennt das Verwaltungsgericht auf dem Zirkulationsweg zu Recht: 1. Die Beschwerde wird abgewiesen. 2. Das Gesuch um Gewährung der unentgeltlichen Rechtspflege im Beschwerdeverfahren wird abgeschrieben. 3. Auf die Erhebung von Gerichtskosten wird verzichtet. 4. Es werden keine ausseramtlichen Kosten entschädigt. B 2025/157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